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09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09640"/>
                    </a:xfrm>
                    <a:prstGeom prst="rect">
                      <a:avLst/>
                    </a:prstGeom>
                    <a:noFill/>
                  </pic:spPr>
                </pic:pic>
              </a:graphicData>
            </a:graphic>
          </wp:anchor>
        </w:drawing>
      </w:r>
    </w:p>
    <w:p>
      <w:pPr>
        <w:sectPr>
          <w:pgSz w:w="11900" w:h="16838" w:orient="portrait"/>
          <w:cols w:equalWidth="0" w:num="1">
            <w:col w:w="10940"/>
          </w:cols>
          <w:pgMar w:left="480" w:top="230" w:right="479" w:bottom="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Schikan Johannes Gerardus</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4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Christiaan Petrus</w:t>
              </w:r>
            </w:hyperlink>
          </w:p>
        </w:tc>
        <w:tc>
          <w:tcPr>
            <w:tcW w:w="38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Pharvaris 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PHVS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9" w:lineRule="exact"/>
        <w:rPr>
          <w:sz w:val="20"/>
          <w:szCs w:val="20"/>
          <w:color w:val="auto"/>
        </w:rPr>
      </w:pPr>
    </w:p>
    <w:p>
      <w:pPr>
        <w:sectPr>
          <w:pgSz w:w="11900" w:h="16838" w:orient="portrait"/>
          <w:cols w:equalWidth="0" w:num="2">
            <w:col w:w="4720" w:space="280"/>
            <w:col w:w="5940"/>
          </w:cols>
          <w:pgMar w:left="480" w:top="230" w:right="479" w:bottom="40" w:gutter="0" w:footer="0" w:header="0"/>
          <w:type w:val="continuous"/>
        </w:sect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CRANBERRY HILL SUITE 400</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LEXINGTON MA</w:t>
            </w: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20"/>
                <w:szCs w:val="20"/>
                <w:color w:val="0000FF"/>
              </w:rPr>
              <w:t>02421</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0" w:right="479" w:bottom="40" w:gutter="0" w:footer="0" w:header="0"/>
          <w:type w:val="continuous"/>
        </w:sectPr>
      </w:pPr>
    </w:p>
    <w:p>
      <w:pPr>
        <w:spacing w:after="0" w:line="5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395,167</w:t>
            </w:r>
            <w:r>
              <w:rPr>
                <w:rFonts w:ascii="Times New Roman" w:cs="Times New Roman" w:eastAsia="Times New Roman" w:hAnsi="Times New Roman"/>
                <w:sz w:val="25"/>
                <w:szCs w:val="25"/>
                <w:color w:val="008000"/>
                <w:w w:val="92"/>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03/03/2027</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03/03/2036</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16,500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28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03/12/2026</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03/12/2035</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16.05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tcBorders>
              <w:bottom w:val="single" w:sz="8" w:color="2C2C2C"/>
            </w:tcBorders>
            <w:gridSpan w:val="2"/>
          </w:tcPr>
          <w:p>
            <w:pPr>
              <w:jc w:val="center"/>
              <w:ind w:left="227"/>
              <w:spacing w:after="0"/>
              <w:rPr>
                <w:sz w:val="20"/>
                <w:szCs w:val="20"/>
                <w:color w:val="auto"/>
              </w:rPr>
            </w:pPr>
            <w:r>
              <w:rPr>
                <w:rFonts w:ascii="Times New Roman" w:cs="Times New Roman" w:eastAsia="Times New Roman" w:hAnsi="Times New Roman"/>
                <w:sz w:val="15"/>
                <w:szCs w:val="15"/>
                <w:color w:val="0000FF"/>
                <w:w w:val="93"/>
              </w:rPr>
              <w:t>04/11/2025</w:t>
            </w:r>
            <w:r>
              <w:rPr>
                <w:rFonts w:ascii="Times New Roman" w:cs="Times New Roman" w:eastAsia="Times New Roman" w:hAnsi="Times New Roman"/>
                <w:sz w:val="25"/>
                <w:szCs w:val="25"/>
                <w:color w:val="008000"/>
                <w:w w:val="93"/>
                <w:vertAlign w:val="superscript"/>
              </w:rPr>
              <w:t>(2)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04/11/2034</w:t>
            </w:r>
          </w:p>
        </w:tc>
        <w:tc>
          <w:tcPr>
            <w:tcW w:w="1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14,000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22.31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04/06/2033</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04/01/2032</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17,500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center"/>
              <w:ind w:left="227"/>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02/05/2031</w:t>
            </w:r>
          </w:p>
        </w:tc>
        <w:tc>
          <w:tcPr>
            <w:tcW w:w="1740" w:type="dxa"/>
            <w:vAlign w:val="bottom"/>
          </w:tcPr>
          <w:p>
            <w:pPr>
              <w:jc w:val="center"/>
              <w:ind w:left="31"/>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35,000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20</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restricted stock units previously granted under the Company's equity plan that remain outstanding as of March 18, 2026. The awards settle in shares of common stock and are reported in Table I as non-derivative securities. Vesting occurs as follows: -5,500 RSUs from an award granted March 3, 2026 of which 100% will vest March 3,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100% of the option vest on the 12-month anniversary.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6, 2024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April 1, 2023 with the remaining shares vesting in 1/48 monthly installments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 vested on February 5, 2022 with the remaining shares vesting in 1/48 monthly installments thereafter.</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Marnus Nel,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 for Johannes</w:t>
            </w:r>
          </w:p>
        </w:tc>
        <w:tc>
          <w:tcPr>
            <w:tcW w:w="18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Schikan</w:t>
            </w: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0" w:gutter="0" w:footer="0" w:header="0"/>
          <w:type w:val="continuous"/>
        </w:sectPr>
      </w:pPr>
    </w:p>
    <w:bookmarkStart w:id="1" w:name="page2"/>
    <w:bookmarkEnd w:id="1"/>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March 2, 2026</w:t>
      </w:r>
    </w:p>
    <w:p>
      <w:pPr>
        <w:spacing w:after="0" w:line="234" w:lineRule="exact"/>
        <w:rPr>
          <w:sz w:val="20"/>
          <w:szCs w:val="20"/>
          <w:color w:val="auto"/>
        </w:rPr>
      </w:pPr>
    </w:p>
    <w:p>
      <w:pPr>
        <w:jc w:val="both"/>
        <w:ind w:firstLine="929"/>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David Nassif, Marnus Nel, and Skyler Wallace, acting individually, as the undersigned’s true and lawful attorney-in-fact and agent, with full power and authority, including substitution and revocation, as hereinafter described on behalf of and in the name, place and stead of the undersigned to:</w:t>
      </w:r>
    </w:p>
    <w:p>
      <w:pPr>
        <w:spacing w:after="0" w:line="179" w:lineRule="exact"/>
        <w:rPr>
          <w:sz w:val="20"/>
          <w:szCs w:val="20"/>
          <w:color w:val="auto"/>
        </w:rPr>
      </w:pPr>
    </w:p>
    <w:p>
      <w:pPr>
        <w:jc w:val="both"/>
        <w:ind w:left="660" w:right="740" w:hanging="528"/>
        <w:spacing w:after="0" w:line="238"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officer or beneficial owner of shares of stock of Pharvaris N.V., a Dutch public limited liability company (naamloze vennootschap)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any Form 3, 4 and 5 and any amendments, supplements or exhibits thereto required to be filed by the undersigned under Section 16(a) of the Exchange Act, as well as notices on Form 144 and amendments thereto, filed pursuant to Rule 144 promulgated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219" w:lineRule="exact"/>
        <w:rPr>
          <w:rFonts w:ascii="Times New Roman" w:cs="Times New Roman" w:eastAsia="Times New Roman" w:hAnsi="Times New Roman"/>
          <w:sz w:val="24"/>
          <w:szCs w:val="24"/>
          <w:color w:val="auto"/>
        </w:rPr>
      </w:pPr>
    </w:p>
    <w:p>
      <w:pPr>
        <w:jc w:val="both"/>
        <w:ind w:left="660" w:right="720" w:hanging="587"/>
        <w:spacing w:after="0" w:line="242"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169" w:lineRule="exact"/>
        <w:rPr>
          <w:rFonts w:ascii="Times New Roman" w:cs="Times New Roman" w:eastAsia="Times New Roman" w:hAnsi="Times New Roman"/>
          <w:sz w:val="24"/>
          <w:szCs w:val="24"/>
          <w:color w:val="auto"/>
        </w:rPr>
      </w:pPr>
    </w:p>
    <w:p>
      <w:pPr>
        <w:jc w:val="both"/>
        <w:ind w:left="660" w:right="720" w:hanging="660"/>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 13D, Schedule 13G, and any amendments thereto, Form 3, 4 or 5, and any amendments thereto, notices on Form 144 and amendments thereto, or any other required report relating to any of the foregoing and timely file such notices, forms or reports with the U.S. Securities and Exchange Commission and any stock exchange on which the stock of the Company is then listed; and</w:t>
      </w:r>
    </w:p>
    <w:p>
      <w:pPr>
        <w:spacing w:after="0" w:line="93" w:lineRule="exact"/>
        <w:rPr>
          <w:rFonts w:ascii="Times New Roman" w:cs="Times New Roman" w:eastAsia="Times New Roman" w:hAnsi="Times New Roman"/>
          <w:sz w:val="24"/>
          <w:szCs w:val="24"/>
          <w:color w:val="auto"/>
        </w:rPr>
      </w:pPr>
    </w:p>
    <w:p>
      <w:pPr>
        <w:jc w:val="both"/>
        <w:ind w:left="660" w:right="720" w:hanging="646"/>
        <w:spacing w:after="0" w:line="241" w:lineRule="auto"/>
        <w:tabs>
          <w:tab w:leader="none" w:pos="66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each such attorney-in-fact’s discretion.</w:t>
      </w:r>
    </w:p>
    <w:p>
      <w:pPr>
        <w:spacing w:after="0" w:line="198" w:lineRule="exact"/>
        <w:rPr>
          <w:sz w:val="20"/>
          <w:szCs w:val="20"/>
          <w:color w:val="auto"/>
        </w:rPr>
      </w:pPr>
    </w:p>
    <w:p>
      <w:pPr>
        <w:ind w:firstLine="929"/>
        <w:spacing w:after="0" w:line="266" w:lineRule="auto"/>
        <w:rPr>
          <w:sz w:val="20"/>
          <w:szCs w:val="20"/>
          <w:color w:val="auto"/>
        </w:rPr>
      </w:pPr>
      <w:r>
        <w:rPr>
          <w:rFonts w:ascii="Times New Roman" w:cs="Times New Roman" w:eastAsia="Times New Roman" w:hAnsi="Times New Roman"/>
          <w:sz w:val="24"/>
          <w:szCs w:val="24"/>
          <w:color w:val="auto"/>
        </w:rPr>
        <w:t>The undersigned hereby acknowledges that (a) the foregoing attorneys-in-fact are serving in such capacity at the request of the undersigned; (b) this Power of Attorney authorizes,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2" w:name="page3"/>
    <w:bookmarkEnd w:id="2"/>
    <w:p>
      <w:pPr>
        <w:spacing w:after="0" w:line="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2" w:lineRule="exact"/>
        <w:rPr>
          <w:sz w:val="20"/>
          <w:szCs w:val="20"/>
          <w:color w:val="auto"/>
        </w:rPr>
      </w:pPr>
    </w:p>
    <w:p>
      <w:pPr>
        <w:jc w:val="both"/>
        <w:spacing w:after="0" w:line="234" w:lineRule="auto"/>
        <w:tabs>
          <w:tab w:leader="none" w:pos="346"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(i) any liability for the undersigned's responsibility to comply with the requirements of the Exchange Act or Securities Act, as applicable, (ii) any liability of the undersigned for any failure to comply with such requirements,</w:t>
      </w:r>
    </w:p>
    <w:p>
      <w:pPr>
        <w:spacing w:after="0" w:line="3" w:lineRule="exact"/>
        <w:rPr>
          <w:rFonts w:ascii="Times New Roman" w:cs="Times New Roman" w:eastAsia="Times New Roman" w:hAnsi="Times New Roman"/>
          <w:sz w:val="24"/>
          <w:szCs w:val="24"/>
          <w:color w:val="auto"/>
        </w:rPr>
      </w:pPr>
    </w:p>
    <w:p>
      <w:pPr>
        <w:jc w:val="both"/>
        <w:spacing w:after="0" w:line="237" w:lineRule="auto"/>
        <w:tabs>
          <w:tab w:leader="none" w:pos="485"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 if applicable, or (iv) any liability resulting from a failure to qualify for the safe harbor under Rule 144; and (e) this Power of Attorney does not relieve the undersigned from responsibility for compliance with the undersigned’s obligations under the Exchange Act or Securities Act, including, without limitation, the reporting requirements under Section 13 and Section 16 of the Exchange Act or Rule 144 promulgated under the Securities Act, as applicable.</w:t>
      </w:r>
    </w:p>
    <w:p>
      <w:pPr>
        <w:spacing w:after="0" w:line="200" w:lineRule="exact"/>
        <w:rPr>
          <w:sz w:val="20"/>
          <w:szCs w:val="20"/>
          <w:color w:val="auto"/>
        </w:rPr>
      </w:pPr>
    </w:p>
    <w:p>
      <w:pPr>
        <w:jc w:val="both"/>
        <w:ind w:firstLine="929"/>
        <w:spacing w:after="0" w:line="241"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(and shall survive, if necessary, by incapacity and/or death) until the undersigned is no longer required to file Schedule 13D or Schedule 13G, Forms 3, 4 or 5, notices on Form 144, or any amendments, supplements or exhibits to any of the foregoing with respect to the undersigned’s holdings of, and transactions in, securities issued by the Company, unless earlier revoked as to any attorney-in-fact by the undersigned in a signed writing delivered to such attorney-in-fact.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to Follow]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580"/>
          </w:cols>
          <w:pgMar w:left="480" w:top="1440" w:right="839" w:bottom="1440" w:gutter="0" w:footer="0" w:header="0"/>
        </w:sectPr>
      </w:pPr>
    </w:p>
    <w:bookmarkStart w:id="3" w:name="page4"/>
    <w:bookmarkEnd w:id="3"/>
    <w:p>
      <w:pPr>
        <w:spacing w:after="0" w:line="96" w:lineRule="exact"/>
        <w:rPr>
          <w:sz w:val="20"/>
          <w:szCs w:val="20"/>
          <w:color w:val="auto"/>
        </w:rPr>
      </w:pPr>
    </w:p>
    <w:p>
      <w:pPr>
        <w:ind w:firstLine="729"/>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1437640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535940</wp:posOffset>
            </wp:positionV>
            <wp:extent cx="1829435" cy="666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29435" cy="666750"/>
                    </a:xfrm>
                    <a:prstGeom prst="rect">
                      <a:avLst/>
                    </a:prstGeom>
                    <a:noFill/>
                  </pic:spPr>
                </pic:pic>
              </a:graphicData>
            </a:graphic>
          </wp:anchor>
        </w:drawing>
      </w:r>
    </w:p>
    <w:p>
      <w:pPr>
        <w:sectPr>
          <w:pgSz w:w="11900" w:h="16838" w:orient="portrait"/>
          <w:cols w:equalWidth="0" w:num="1">
            <w:col w:w="10620"/>
          </w:cols>
          <w:pgMar w:left="480" w:top="1440" w:right="7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0" Type="http://schemas.openxmlformats.org/officeDocument/2006/relationships/hyperlink" Target="http://www.sec.gov/cgi-bin/browse-edgar?action=getcompany&amp;CIK=0002014983" TargetMode="External"/><Relationship Id="rId11"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2026-03-18T13:24:58Z</dcterms:created>
  <dcterms:modified xsi:type="dcterms:W3CDTF">2026-03-18T13:24:58Z</dcterms:modified>
</cp:coreProperties>
</file>